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216 FamFG — Wirksamkeit; Vollstreckung vor Zustellung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Endentscheidung in Gewaltschutzsachen wird mit Rechtskraft wirksam. Das Gericht soll die sofortige Wirksamkeit anordnen.</w:t>
      </w:r>
    </w:p>
    <w:p>
      <w:r>
        <w:t xml:space="preserve">(2) Mit der Anordnung der sofortigen Wirksamkeit kann das Gericht auch die Zulässigkeit der Vollstreckung vor der Zustellung an den Antragsgegner anordnen. In diesem Fall tritt die Wirksamkeit in dem Zeitpunkt ein, in dem die Entscheidung der Geschäftsstelle des Gerichts zur Bekanntmachung übergeben wird; dieser Zeitpunkt ist auf der Entscheidung zu vermerken.</w:t>
      </w:r>
    </w:p>
    <w:p>
      <w:r>
        <w:rPr>
          <w:color w:val="555555"/>
          <w:sz w:val="17"/>
        </w:rPr>
        <w:t xml:space="preserve">Zitiervorschlag: § 216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