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214 FamFG — Einstweilige Anordnung</w:t>
      </w:r>
    </w:p>
    <w:p>
      <w:r>
        <w:rPr>
          <w:color w:val="555555"/>
          <w:sz w:val="18"/>
        </w:rPr>
        <w:t xml:space="preserve">Gesetz über das Verfahren in Familiensachen und in den Angelegenheiten der freiwilligen Gerichtsbarkeit</w:t>
      </w:r>
    </w:p>
    <w:p>
      <w:r>
        <w:rPr>
          <w:color w:val="555555"/>
          <w:sz w:val="18"/>
        </w:rPr>
        <w:t xml:space="preserve">Stand: 10.07.2026 (konsolidierte Textfassung, kein amtliches Inkrafttretensdatum)</w:t>
      </w:r>
    </w:p>
    <w:p>
      <w:r>
        <w:t xml:space="preserve">(1) Auf Antrag kann das Gericht durch einstweilige Anordnung eine vorläufige Regelung nach § 1 oder § 2 des Gewaltschutzgesetzes treffen. Ein dringendes Bedürfnis für ein sofortiges Tätigwerden liegt in der Regel vor, wenn eine Tat nach § 1 des Gewaltschutzgesetzes begangen wurde oder auf Grund konkreter Umstände mit einer Begehung zu rechnen ist.</w:t>
      </w:r>
    </w:p>
    <w:p>
      <w:r>
        <w:t xml:space="preserve">(2) Der Beschluss nach Absatz 1 ist von Amts wegen zuzustellen. Die Geschäftsstelle beauftragt den Gerichtsvollzieher mit der Zustellung. Ist diese Art der Zustellung nicht erforderlich oder verspricht sie keinen Erfolg, kann das Gericht die Beauftragung der Zustellung entsprechend den §§ 168 und 172 bis 183 der Zivilprozessordnung anordnen. Der Antrag auf Erlass der einstweiligen Anordnung gilt im Fall des Erlasses ohne mündliche Erörterung zugleich als Auftrag zur Vollstreckung; auf Verlangen des Antragstellers darf die Zustellung nicht vor der Vollstreckung erfolgen.</w:t>
      </w:r>
    </w:p>
    <w:p>
      <w:r>
        <w:rPr>
          <w:color w:val="555555"/>
          <w:sz w:val="17"/>
        </w:rPr>
        <w:t xml:space="preserve">Zitiervorschlag: § 214 FamFG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