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211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Ausschließlich zuständig ist nach Wahl des Antragstellers</w:t>
      </w:r>
    </w:p>
    <w:p>
      <w:pPr>
        <w:ind w:left="420"/>
      </w:pPr>
      <w:r>
        <w:t xml:space="preserve">1. das Gericht, in dessen Bezirk die Tat begangen wurde,</w:t>
      </w:r>
    </w:p>
    <w:p>
      <w:pPr>
        <w:ind w:left="420"/>
      </w:pPr>
      <w:r>
        <w:t xml:space="preserve">2. das Gericht, in dessen Bezirk sich die gemeinsame Wohnung des Antragstellers und des Antragsgegners befindet oder</w:t>
      </w:r>
    </w:p>
    <w:p>
      <w:pPr>
        <w:ind w:left="420"/>
      </w:pPr>
      <w:r>
        <w:t xml:space="preserve">3. das Gericht, in dessen Bezirk der Antragsgegner seinen gewöhnlichen Aufenthalt hat.</w:t>
      </w:r>
    </w:p>
    <w:p>
      <w:r>
        <w:rPr>
          <w:color w:val="555555"/>
          <w:sz w:val="17"/>
        </w:rPr>
        <w:t xml:space="preserve">Zitiervorschlag: § 211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