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206 FamFG — Besondere Vorschriften in Haushaltssachen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in Haushaltssachen jedem Ehegatten aufgeben,</w:t>
      </w:r>
    </w:p>
    <w:p>
      <w:pPr>
        <w:ind w:left="420"/>
      </w:pPr>
      <w:r>
        <w:t xml:space="preserve">1. die Haushaltsgegenstände anzugeben, deren Zuteilung er begehrt,</w:t>
      </w:r>
    </w:p>
    <w:p>
      <w:pPr>
        <w:ind w:left="420"/>
      </w:pPr>
      <w:r>
        <w:t xml:space="preserve">2. eine Aufstellung sämtlicher Haushaltsgegenstände einschließlich deren genauer Bezeichnung vorzulegen oder eine vorgelegte Aufstellung zu ergänzen,</w:t>
      </w:r>
    </w:p>
    <w:p>
      <w:pPr>
        <w:ind w:left="420"/>
      </w:pPr>
      <w:r>
        <w:t xml:space="preserve">3. sich über bestimmte Umstände zu erklären, eigene Angaben zu ergänzen oder zum Vortrag eines anderen Beteiligten Stellung zu nehmen oder</w:t>
      </w:r>
    </w:p>
    <w:p>
      <w:pPr>
        <w:ind w:left="420"/>
      </w:pPr>
      <w:r>
        <w:t xml:space="preserve">4. bestimmte Belege vorzulegen</w:t>
      </w:r>
    </w:p>
    <w:p>
      <w:r>
        <w:t xml:space="preserve">und ihm hierzu eine angemessene Frist setzen.</w:t>
      </w:r>
    </w:p>
    <w:p>
      <w:r>
        <w:t xml:space="preserve">(2) Umstände, die erst nach Ablauf einer Frist nach Absatz 1 vorgebracht werden, können nur berücksichtigt werden, wenn dadurch nach der freien Überzeugung des Gerichts die Erledigung des Verfahrens nicht verzögert wird oder wenn der Ehegatte die Verspätung genügend entschuldigt.</w:t>
      </w:r>
    </w:p>
    <w:p>
      <w:r>
        <w:t xml:space="preserve">(3) Kommt ein Ehegatte einer Auflage nach Absatz 1 nicht nach oder sind nach Absatz 2 Umstände nicht zu berücksichtigen, ist das Gericht insoweit zur weiteren Aufklärung des Sachverhalts nicht verpflichtet.</w:t>
      </w:r>
    </w:p>
    <w:p>
      <w:r>
        <w:rPr>
          <w:color w:val="555555"/>
          <w:sz w:val="17"/>
        </w:rPr>
        <w:t xml:space="preserve">Zitiervorschlag: § 206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