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205 FamFG — Anhörung des Jugendamts in Ehewohnungssachen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Ehewohnungssachen soll das Gericht das Jugendamt anhören, wenn Kinder im Haushalt der Ehegatten leben. Unterbleibt die Anhörung allein wegen Gefahr im Verzug, ist sie unverzüglich nachzuholen.</w:t>
      </w:r>
    </w:p>
    <w:p>
      <w:r>
        <w:t xml:space="preserve">(2) Das Gericht hat in den Fällen des Absatzes 1 Satz 1 dem Jugendamt die Entscheidung mitzuteilen. Gegen den Beschluss steht dem Jugendamt die Beschwerde zu.</w:t>
      </w:r>
    </w:p>
    <w:p>
      <w:r>
        <w:rPr>
          <w:color w:val="555555"/>
          <w:sz w:val="17"/>
        </w:rPr>
        <w:t xml:space="preserve">Zitiervorschlag: § 205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https://recht.nulegal.eu/gesetze/FamFG/205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