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204 FamFG — Beteiligte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Ehewohnungssachen nach § 200 Abs. 1 Nr. 2 sind auch der Vermieter der Wohnung, der Grundstückseigentümer, der Dritte (§ 1568a Absatz 4 des Bürgerlichen Gesetzbuchs) und Personen, mit denen die Ehegatten oder einer von ihnen hinsichtlich der Wohnung in Rechtsgemeinschaft stehen, zu beteiligen.</w:t>
      </w:r>
    </w:p>
    <w:p>
      <w:r>
        <w:t xml:space="preserve">(2) Das Jugendamt ist in Ehewohnungssachen auf seinen Antrag zu beteiligen, wenn Kinder im Haushalt der Ehegatten leben.</w:t>
      </w:r>
    </w:p>
    <w:p>
      <w:r>
        <w:rPr>
          <w:color w:val="555555"/>
          <w:sz w:val="17"/>
        </w:rPr>
        <w:t xml:space="preserve">Zitiervorschlag: § 204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