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203 FamFG — Antrag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Verfahren wird durch den Antrag eines Ehegatten eingeleitet.</w:t>
      </w:r>
    </w:p>
    <w:p>
      <w:r>
        <w:t xml:space="preserve">(2) Der Antrag in Haushaltssachen soll die Angabe der Gegenstände enthalten, deren Zuteilung begehrt wird. Dem Antrag in Haushaltssachen nach § 200 Abs. 2 Nr. 2 soll zudem eine Aufstellung sämtlicher Haushaltsgegenstände beigefügt werden, die auch deren genaue Bezeichnung enthält.</w:t>
      </w:r>
    </w:p>
    <w:p>
      <w:r>
        <w:t xml:space="preserve">(3) Der Antrag in Ehewohnungssachen soll die Angabe enthalten, ob Kinder im Haushalt der Ehegatten leben.</w:t>
      </w:r>
    </w:p>
    <w:p>
      <w:r>
        <w:rPr>
          <w:color w:val="555555"/>
          <w:sz w:val="17"/>
        </w:rPr>
        <w:t xml:space="preserve">Zitiervorschlag: § 203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