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201 FamFG — Örtliche Zuständigkeit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Ausschließlich zuständig ist in dieser Rangfolge:</w:t>
      </w:r>
    </w:p>
    <w:p>
      <w:pPr>
        <w:ind w:left="420"/>
      </w:pPr>
      <w:r>
        <w:t xml:space="preserve">1. während der Anhängigkeit einer Ehesache das Gericht, bei dem die Ehesache im ersten Rechtszug anhängig ist oder war;</w:t>
      </w:r>
    </w:p>
    <w:p>
      <w:pPr>
        <w:ind w:left="420"/>
      </w:pPr>
      <w:r>
        <w:t xml:space="preserve">2. das Gericht, in dessen Bezirk sich die gemeinsame Wohnung der Ehegatten befindet;</w:t>
      </w:r>
    </w:p>
    <w:p>
      <w:pPr>
        <w:ind w:left="420"/>
      </w:pPr>
      <w:r>
        <w:t xml:space="preserve">3. das Gericht, in dessen Bezirk der Antragsgegner seinen gewöhnlichen Aufenthalt hat;</w:t>
      </w:r>
    </w:p>
    <w:p>
      <w:pPr>
        <w:ind w:left="420"/>
      </w:pPr>
      <w:r>
        <w:t xml:space="preserve">4. das Gericht, in dessen Bezirk der Antragsteller seinen gewöhnlichen Aufenthalt hat.</w:t>
      </w:r>
    </w:p>
    <w:p>
      <w:r>
        <w:rPr>
          <w:color w:val="555555"/>
          <w:sz w:val="17"/>
        </w:rPr>
        <w:t xml:space="preserve">Zitiervorschlag: § 201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