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FamFG — Örtliche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Unter mehreren örtlich zuständigen Gerichten ist das Gericht zuständig, das zuerst mit der Angelegenheit befasst ist.</w:t>
      </w:r>
    </w:p>
    <w:p>
      <w:r>
        <w:t xml:space="preserve">(2) Die örtliche Zuständigkeit eines Gerichts bleibt bei Veränderung der sie begründenden Umstände erhalten.</w:t>
      </w:r>
    </w:p>
    <w:p>
      <w:r>
        <w:t xml:space="preserve">(3) Gerichtliche Handlungen sind nicht deswegen unwirksam, weil sie von einem örtlich unzuständigen Gericht vorgenommen worden sind.</w:t>
      </w:r>
    </w:p>
    <w:p>
      <w:r>
        <w:rPr>
          <w:color w:val="555555"/>
          <w:sz w:val="17"/>
        </w:rPr>
        <w:t xml:space="preserve">Zitiervorschlag: § 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