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197 FamFG — Beschluss über die Annahme als Kind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einem Beschluss, durch den das Gericht die Annahme als Kind ausspricht, ist anzugeben, auf welche gesetzlichen Vorschriften sich die Annahme gründet. Wurde die Einwilligung eines Elternteils nach § 1747 Abs. 4 des Bürgerlichen Gesetzbuchs nicht für erforderlich erachtet, ist dies ebenfalls in dem Beschluss anzugeben.</w:t>
      </w:r>
    </w:p>
    <w:p>
      <w:r>
        <w:t xml:space="preserve">(2) In den Fällen des Absatzes 1 wird der Beschluss mit der Zustellung an den Annehmenden, nach dem Tod des Annehmenden mit der Zustellung an das Kind wirksam.</w:t>
      </w:r>
    </w:p>
    <w:p>
      <w:r>
        <w:t xml:space="preserve">(3) Der Beschluss ist nicht anfechtbar. Eine Abänderung oder Wiederaufnahme ist ausgeschlossen.</w:t>
      </w:r>
    </w:p>
    <w:p>
      <w:r>
        <w:rPr>
          <w:color w:val="555555"/>
          <w:sz w:val="17"/>
        </w:rPr>
        <w:t xml:space="preserve">Zitiervorschlag: § 197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