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195 FamFG — Anhörung des Landesjugendamts</w:t>
      </w:r>
    </w:p>
    <w:p>
      <w:r>
        <w:rPr>
          <w:color w:val="555555"/>
          <w:sz w:val="18"/>
        </w:rPr>
        <w:t xml:space="preserve">Gesetz über das Verfahren in Familiensachen und in den Angelegenheiten der freiwilligen Gerichtsbarkeit</w:t>
      </w:r>
    </w:p>
    <w:p>
      <w:r>
        <w:rPr>
          <w:color w:val="555555"/>
          <w:sz w:val="18"/>
        </w:rPr>
        <w:t xml:space="preserve">Stand: 01.04.2021 (konsolidierte Textfassung, kein amtliches Inkrafttretensdatum)</w:t>
      </w:r>
    </w:p>
    <w:p>
      <w:r>
        <w:t xml:space="preserve">(1) In den Fällen des § 11 Absatz 1 Nummer 2 und 3 des Adoptionsvermittlungsgesetzes hat das Gericht vor dem Ausspruch der Annahme auch die zentrale Adoptionsstelle des Landesjugendamts, in deren Bereich die Annehmenden ihren gewöhnlichen Aufenthalt haben, anzuhören. Ist eine zentrale Adoptionsstelle nicht beteiligt worden, tritt an seine Stelle das Landesjugendamt, in dessen Bereich das Jugendamt liegt, das nach § 194 Gelegenheit zur Äußerung erhält oder das nach § 189 eine fachliche Äußerung abgegeben hat.</w:t>
      </w:r>
    </w:p>
    <w:p>
      <w:r>
        <w:t xml:space="preserve">(2) Das Gericht hat dem Landesjugendamt alle Entscheidungen mitzuteilen, zu denen dieses nach Absatz 1 anzuhören war. Gegen den Beschluss steht dem Landesjugendamt die Beschwerde zu.</w:t>
      </w:r>
    </w:p>
    <w:p>
      <w:r>
        <w:rPr>
          <w:color w:val="555555"/>
          <w:sz w:val="17"/>
        </w:rPr>
        <w:t xml:space="preserve">Zitiervorschlag: § 195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