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192 FamFG — Anhörung der Beteiligten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hat in Verfahren auf Annahme als Kind oder auf Aufhebung des Annahmeverhältnisses den Annehmenden und das Kind persönlich anzuhören.</w:t>
      </w:r>
    </w:p>
    <w:p>
      <w:r>
        <w:t xml:space="preserve">(2) Im Übrigen sollen die beteiligten Personen angehört werden.</w:t>
      </w:r>
    </w:p>
    <w:p>
      <w:r>
        <w:t xml:space="preserve">(3) Von der Anhörung eines minderjährigen Beteiligten kann abgesehen werden, wenn Nachteile für seine Entwicklung, Erziehung oder Gesundheit zu befürchten sind oder wenn wegen des geringen Alters von einer Anhörung eine Aufklärung nicht zu erwarten ist.</w:t>
      </w:r>
    </w:p>
    <w:p>
      <w:r>
        <w:rPr>
          <w:color w:val="555555"/>
          <w:sz w:val="17"/>
        </w:rPr>
        <w:t xml:space="preserve">Zitiervorschlag: § 192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