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FamFG — Entscheidung über die Wiedereinsetzung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Wiedereinsetzung entscheidet das Gericht, das über die versäumte Rechtshandlung zu befinden hat.</w:t>
      </w:r>
    </w:p>
    <w:p>
      <w:r>
        <w:t xml:space="preserve">(2) Die Wiedereinsetzung ist nicht anfechtbar.</w:t>
      </w:r>
    </w:p>
    <w:p>
      <w:r>
        <w:t xml:space="preserve">(3) Die Versagung der Wiedereinsetzung ist nach den Vorschriften anfechtbar, die für die versäumte Rechtshandlung gelten.</w:t>
      </w:r>
    </w:p>
    <w:p>
      <w:r>
        <w:rPr>
          <w:color w:val="555555"/>
          <w:sz w:val="17"/>
        </w:rPr>
        <w:t xml:space="preserve">Zitiervorschlag: § 19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