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185a FamFG — Wiederaufnahme bei Anfechtung durch den leiblichen Vater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01.04.2026 (konsolidierte Textfassung, kein amtliches Inkrafttretensdatum)</w:t>
      </w:r>
    </w:p>
    <w:p>
      <w:r>
        <w:t xml:space="preserve">(1) Wurde der Antrag auf Anfechtung der Vaterschaft nach § 1600 Absatz 3 des Bürgerlichen Gesetzbuchs rechtskräftig durch Beschluss abgewiesen, ist ein Restitutionsantrag des nach § 1600 Absatz 1 Satz 1 Nummer 2 des Bürgerlichen Gesetzbuchs anfechtungsberechtigten Mannes gegen diesen Beschluss auch dann statthaft, wenn die sozial-familiäre Beziehung zwischen dem Kind und dem Mann, dessen Vaterschaft nach § 1592 Nummer 1 oder 2 des Bürgerlichen Gesetzbuchs besteht, beendet ist. Satz 1 gilt entsprechend für den Restitutionsantrag gegen einen rechtskräftigen Beschluss, mit dem der Antrag auf Anfechtung der Vaterschaft nach § 1600 Absatz 2 des Bürgerlichen Gesetzbuchs in der bis zum 31. März 2026 geltenden Fassung wegen des Bestehens einer sozial-familiären Beziehung abgewiesen wurde.</w:t>
      </w:r>
    </w:p>
    <w:p>
      <w:r>
        <w:t xml:space="preserve">(2) Ein Restitutionsantrag nach Absatz 1 ist unzulässig, wenn das Kind bei Eintritt der Rechtskraft des Beschlusses zur Abweisung des Antrags auf Anfechtung der Vaterschaft nach § 1600 Absatz 3 des Bürgerlichen Gesetzbuchs volljährig war. Im Übrigen kann ein Restitutionsantrag nach Absatz 1 erst gestellt werden, wenn seit Rechtskraft des Beschlusses eine Wartefrist verstrichen ist. Die Wartefrist beträgt</w:t>
      </w:r>
    </w:p>
    <w:p>
      <w:pPr>
        <w:ind w:left="420"/>
      </w:pPr>
      <w:r>
        <w:t xml:space="preserve">1. vier Jahre, wenn das Kind bei Eintritt der Rechtskraft des Beschlusses das 14. Lebensjahr vollendet hatte,</w:t>
      </w:r>
    </w:p>
    <w:p>
      <w:pPr>
        <w:ind w:left="420"/>
      </w:pPr>
      <w:r>
        <w:t xml:space="preserve">2. drei Jahre, wenn das Kind bei Eintritt der Rechtskraft des Beschlusses das 14. Lebensjahr noch nicht vollendet hatte, und</w:t>
      </w:r>
    </w:p>
    <w:p>
      <w:pPr>
        <w:ind w:left="420"/>
      </w:pPr>
      <w:r>
        <w:t xml:space="preserve">3. zwei Jahre, wenn das Kind bei Eintritt der Rechtskraft des Beschlusses das sechste Lebensjahr noch nicht vollendet hatte.</w:t>
      </w:r>
    </w:p>
    <w:p>
      <w:r>
        <w:t xml:space="preserve">Wurde ein Restitutionsantrag nach Absatz 1 rechtskräftig als unzulässig verworfen oder hat das Familiengericht auf Grund eines Restitutionsantrags nach Absatz 1 den Antrag auf Anfechtung der Vaterschaft nach § 1600 Absatz 2 oder 3 des Bürgerlichen Gesetzbuchs erneut abgewiesen, gelten die Sätze 1 bis 3 entsprechend.</w:t>
      </w:r>
    </w:p>
    <w:p>
      <w:r>
        <w:t xml:space="preserve">(3) § 185 Absatz 3 und 4 ist anzuwenden.</w:t>
      </w:r>
    </w:p>
    <w:p>
      <w:r>
        <w:rPr>
          <w:color w:val="555555"/>
          <w:sz w:val="17"/>
        </w:rPr>
        <w:t xml:space="preserve">Zitiervorschlag: § 185a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https://recht.nulegal.eu/gesetze/FamFG/185a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