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FamFG — Wirksamkeit des Beschlusses; Ausschluss der Abänderung; ergänzende Vorschriften über die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Endentscheidung in Abstammungssachen wird mit Rechtskraft wirksam. Eine Abänderung ist ausgeschlossen.</w:t>
      </w:r>
    </w:p>
    <w:p>
      <w:r>
        <w:t xml:space="preserve">(2) Soweit über die Abstammung entschieden ist, wirkt der Beschluss für und gegen alle.</w:t>
      </w:r>
    </w:p>
    <w:p>
      <w:r>
        <w:t xml:space="preserve">(3) Gegen Endentscheidungen in Abstammungssachen steht auch demjenigen die Beschwerde zu, der an dem Verfahren beteiligt war oder zu beteiligen gewesen wäre.</w:t>
      </w:r>
    </w:p>
    <w:p>
      <w:r>
        <w:rPr>
          <w:color w:val="555555"/>
          <w:sz w:val="17"/>
        </w:rPr>
        <w:t xml:space="preserve">Zitiervorschlag: § 184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