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183 FamFG — Kosten bei Anfechtung der Vaterschaft</w:t>
      </w:r>
    </w:p>
    <w:p>
      <w:r>
        <w:rPr>
          <w:color w:val="555555"/>
          <w:sz w:val="18"/>
        </w:rPr>
        <w:t xml:space="preserve">Gesetz über das Verfahren in Familiensachen und in den Angelegenheiten der freiwilligen Gerichtsbarkeit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Hat ein Antrag auf Anfechtung der Vaterschaft Erfolg, tragen die Beteiligten, mit Ausnahme des minderjährigen Kindes, die Gerichtskosten zu gleichen Teilen; die Beteiligten tragen ihre außergerichtlichen Kosten selbst.</w:t>
      </w:r>
    </w:p>
    <w:p>
      <w:r>
        <w:rPr>
          <w:color w:val="555555"/>
          <w:sz w:val="17"/>
        </w:rPr>
        <w:t xml:space="preserve">Zitiervorschlag: § 183 FamFG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https://recht.nulegal.eu/gesetze/FamFG/183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