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179 FamFG — Mehrheit von 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Abstammungssachen, die dasselbe Kind betreffen, können miteinander verbunden werden. Mit einem Verfahren auf Feststellung des Bestehens der Vaterschaft kann eine Unterhaltssache nach § 237 verbunden werden.</w:t>
      </w:r>
    </w:p>
    <w:p>
      <w:r>
        <w:t xml:space="preserve">(2) Im Übrigen ist eine Verbindung von Abstammungssachen miteinander oder mit anderen Verfahren unzulässig.</w:t>
      </w:r>
    </w:p>
    <w:p>
      <w:r>
        <w:rPr>
          <w:color w:val="555555"/>
          <w:sz w:val="17"/>
        </w:rPr>
        <w:t xml:space="preserve">Zitiervorschlag: § 179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