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177 FamFG — Eingeschränkte Amtsermittlung; förmliche Beweisaufnahme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Im Verfahren auf Anfechtung der Vaterschaft dürfen von den beteiligten Personen nicht vorgebrachte Tatsachen nur berücksichtigt werden, wenn sie geeignet sind, dem Fortbestand der Vaterschaft zu dienen, oder wenn der die Vaterschaft Anfechtende einer Berücksichtigung nicht widerspricht.</w:t>
      </w:r>
    </w:p>
    <w:p>
      <w:r>
        <w:t xml:space="preserve">(2) Über die Abstammung in Verfahren nach § 169 Nr. 1 und 4 hat eine förmliche Beweisaufnahme stattzufinden. Die Begutachtung durch einen Sachverständigen kann durch die Verwertung eines von einem Beteiligten mit Zustimmung der anderen Beteiligten eingeholten Gutachtens über die Abstammung ersetzt werden, wenn das Gericht keine Zweifel an der Richtigkeit und Vollständigkeit der im Gutachten getroffenen Feststellungen hat und die Beteiligten zustimmen.</w:t>
      </w:r>
    </w:p>
    <w:p>
      <w:r>
        <w:rPr>
          <w:color w:val="555555"/>
          <w:sz w:val="17"/>
        </w:rPr>
        <w:t xml:space="preserve">Zitiervorschlag: § 177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