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FamFG — Erörterungstermin; persönliche Anhörung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Das Gericht soll vor einer Beweisaufnahme über die Abstammung die Angelegenheit in einem Termin erörtern. Es soll das persönliche Erscheinen der verfahrensfähigen Beteiligten anordnen.</w:t>
      </w:r>
    </w:p>
    <w:p>
      <w:r>
        <w:t xml:space="preserve">(2) In Verfahren nach § 169 Nummer 2 und 4 soll das Gericht die Eltern und das Kind persönlich anhören.</w:t>
      </w:r>
    </w:p>
    <w:p>
      <w:r>
        <w:rPr>
          <w:color w:val="555555"/>
          <w:sz w:val="17"/>
        </w:rPr>
        <w:t xml:space="preserve">Zitiervorschlag: § 175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