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172 FamFG — Beteiligte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 beteiligen sind</w:t>
      </w:r>
    </w:p>
    <w:p>
      <w:pPr>
        <w:ind w:left="420"/>
      </w:pPr>
      <w:r>
        <w:t xml:space="preserve">1. das Kind,</w:t>
      </w:r>
    </w:p>
    <w:p>
      <w:pPr>
        <w:ind w:left="420"/>
      </w:pPr>
      <w:r>
        <w:t xml:space="preserve">2. die Mutter,</w:t>
      </w:r>
    </w:p>
    <w:p>
      <w:pPr>
        <w:ind w:left="420"/>
      </w:pPr>
      <w:r>
        <w:t xml:space="preserve">3. der Vater.</w:t>
      </w:r>
    </w:p>
    <w:p>
      <w:r>
        <w:t xml:space="preserve">(2) Das Jugendamt ist in den Fällen des § 176 Abs. 1 Satz 1 auf seinen Antrag zu beteiligen.</w:t>
      </w:r>
    </w:p>
    <w:p>
      <w:r>
        <w:rPr>
          <w:color w:val="555555"/>
          <w:sz w:val="17"/>
        </w:rPr>
        <w:t xml:space="preserve">Zitiervorschlag: § 172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https://recht.nulegal.eu/gesetze/FamFG/172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