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170 FamFG — Örtliche Zuständigkeit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Ausschließlich zuständig ist das Gericht, in dessen Bezirk das Kind seinen gewöhnlichen Aufenthalt hat.</w:t>
      </w:r>
    </w:p>
    <w:p>
      <w:r>
        <w:t xml:space="preserve">(2) Ist die Zuständigkeit eines deutschen Gerichts nach Absatz 1 nicht gegeben, ist der gewöhnliche Aufenthalt der Mutter, ansonsten der des Vaters maßgebend.</w:t>
      </w:r>
    </w:p>
    <w:p>
      <w:r>
        <w:t xml:space="preserve">(3) Ist eine Zuständigkeit nach den Absätzen 1 und 2 nicht gegeben, ist das Amtsgericht Schöneberg in Berlin ausschließlich zuständig.</w:t>
      </w:r>
    </w:p>
    <w:p>
      <w:r>
        <w:rPr>
          <w:color w:val="555555"/>
          <w:sz w:val="17"/>
        </w:rPr>
        <w:t xml:space="preserve">Zitiervorschlag: § 170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https://recht.nulegal.eu/gesetze/FamFG/170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