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FamFG — Wiedereinsetzung in den vorigen Stand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War jemand ohne sein Verschulden verhindert, eine gesetzliche Frist einzuhalten, ist ihm auf Antrag Wiedereinsetzung in den vorigen Stand zu gewähren.</w:t>
      </w:r>
    </w:p>
    <w:p>
      <w:r>
        <w:t xml:space="preserve">(2) Ein Fehlen des Verschuldens wird vermutet, wenn eine Rechtsbehelfsbelehrung unterblieben oder fehlerhaft ist.</w:t>
      </w:r>
    </w:p>
    <w:p>
      <w:r>
        <w:rPr>
          <w:color w:val="555555"/>
          <w:sz w:val="17"/>
        </w:rPr>
        <w:t xml:space="preserve">Zitiervorschlag: § 17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