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169 FamFG — Abstammungssachen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Abstammungssachen sind Verfahren</w:t>
      </w:r>
    </w:p>
    <w:p>
      <w:pPr>
        <w:ind w:left="420"/>
      </w:pPr>
      <w:r>
        <w:t xml:space="preserve">1. auf Feststellung des Bestehens oder Nichtbestehens eines Eltern-Kind-Verhältnisses, insbesondere der Wirksamkeit oder Unwirksamkeit einer Anerkennung der Vaterschaft,</w:t>
      </w:r>
    </w:p>
    <w:p>
      <w:pPr>
        <w:ind w:left="420"/>
      </w:pPr>
      <w:r>
        <w:t xml:space="preserve">2. auf Ersetzung der Einwilligung in eine genetische Abstammungsuntersuchung und Anordnung der Duldung einer Probeentnahme,</w:t>
      </w:r>
    </w:p>
    <w:p>
      <w:pPr>
        <w:ind w:left="420"/>
      </w:pPr>
      <w:r>
        <w:t xml:space="preserve">3. auf Einsicht in ein Abstammungsgutachten oder Aushändigung einer Abschrift oder</w:t>
      </w:r>
    </w:p>
    <w:p>
      <w:pPr>
        <w:ind w:left="420"/>
      </w:pPr>
      <w:r>
        <w:t xml:space="preserve">4. auf Anfechtung der Vaterschaft.</w:t>
      </w:r>
    </w:p>
    <w:p>
      <w:r>
        <w:rPr>
          <w:color w:val="555555"/>
          <w:sz w:val="17"/>
        </w:rPr>
        <w:t xml:space="preserve">Zitiervorschlag: § 169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https://recht.nulegal.eu/gesetze/FamFG/169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