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168g FamFG — Mitteilungspflichten des Standesamts</w:t>
      </w:r>
    </w:p>
    <w:p>
      <w:r>
        <w:rPr>
          <w:color w:val="555555"/>
          <w:sz w:val="18"/>
        </w:rPr>
        <w:t xml:space="preserve">Gesetz über das Verfahren in Familiensachen und in den Angelegenheiten der freiwilligen Gerichtsbarkeit</w:t>
      </w:r>
    </w:p>
    <w:p>
      <w:r>
        <w:rPr>
          <w:color w:val="555555"/>
          <w:sz w:val="18"/>
        </w:rPr>
        <w:t xml:space="preserve">Stand: 01.05.2025 (konsolidierte Textfassung, kein amtliches Inkrafttretensdatum)</w:t>
      </w:r>
    </w:p>
    <w:p>
      <w:r>
        <w:t xml:space="preserve">(1) Wird dem Standesamt der Tod einer Person, die ein minderjähriges Kind hinterlassen hat, oder die Geburt eines Kindes nach dem Tod des Vaters oder das Auffinden eines Minderjährigen, dessen Familienstand nicht zu ermitteln ist, oder die Geburt eines Kindes im Wege der vertraulichen Geburt nach § 25 Absatz 1 des Schwangerschaftskonfliktgesetzes angezeigt, oder fehlt in den Fällen des § 3 Absatz 1 Satz 2 des Gesetzes über die Selbstbestimmung in Bezug auf den Geschlechtseintrag die Zustimmung des gesetzlichen Vertreters, hat das Standesamt dies dem Familiengericht mitzuteilen.</w:t>
      </w:r>
    </w:p>
    <w:p>
      <w:r>
        <w:t xml:space="preserve">(2) Führen Eltern, die gemeinsam für ein Kind sorgeberechtigt sind, keinen Ehenamen und ist von ihnen binnen eines Monats nach der Geburt des Kindes der Geburtsname des Kindes nicht bestimmt worden und lehnt zumindest ein Elternteil den sich nach § 1617 Absatz 4 Satz 1 bis 3 des Bürgerlichen Gesetzbuchs ergebenden Geburtsnamen des Kindes durch Erklärung gegenüber dem Standesamt ab, teilt das Standesamt dies dem Familiengericht mit.</w:t>
      </w:r>
    </w:p>
    <w:p>
      <w:r>
        <w:rPr>
          <w:color w:val="555555"/>
          <w:sz w:val="17"/>
        </w:rPr>
        <w:t xml:space="preserve">Zitiervorschlag: § 168g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https://recht.nulegal.eu/gesetze/FamFG/168g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