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168c FamFG — Anhörung in wichtigen Angelegenheiten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Das Gericht soll vor Entscheidungen in wichtigen Angelegenheiten auch nahestehende Familienangehörige des Mündels anhören, wenn dies ohne erhebliche Verzögerung geschehen kann.</w:t>
      </w:r>
    </w:p>
    <w:p>
      <w:r>
        <w:rPr>
          <w:color w:val="555555"/>
          <w:sz w:val="17"/>
        </w:rPr>
        <w:t xml:space="preserve">Zitiervorschlag: § 168c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https://recht.nulegal.eu/gesetze/FamFG/168c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