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168b FamFG — Bestellungsurkunde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Vormund erhält eine Urkunde über seine Bestellung. Die Urkunde soll enthalten:</w:t>
      </w:r>
    </w:p>
    <w:p>
      <w:pPr>
        <w:ind w:left="420"/>
      </w:pPr>
      <w:r>
        <w:t xml:space="preserve">1. die Bezeichnung des Mündels und des Vormunds;</w:t>
      </w:r>
    </w:p>
    <w:p>
      <w:pPr>
        <w:ind w:left="420"/>
      </w:pPr>
      <w:r>
        <w:t xml:space="preserve">2. in den Fällen des § 1776 oder § 1777 des Bürgerlichen Gesetzbuchs die Bezeichnung der dem Pfleger übertragenen Angelegenheiten;</w:t>
      </w:r>
    </w:p>
    <w:p>
      <w:pPr>
        <w:ind w:left="420"/>
      </w:pPr>
      <w:r>
        <w:t xml:space="preserve">3. Angaben über die Beschränkungen der Vertretungsmacht gemäß § 1789 Absatz 2 Satz 3 des Bürgerlichen Gesetzbuchs;</w:t>
      </w:r>
    </w:p>
    <w:p>
      <w:pPr>
        <w:ind w:left="420"/>
      </w:pPr>
      <w:r>
        <w:t xml:space="preserve">4. Angaben über Befreiungen gemäß § 1801 des Bürgerlichen Gesetzbuchs.</w:t>
      </w:r>
    </w:p>
    <w:p>
      <w:r>
        <w:t xml:space="preserve">(2) Ist das Jugendamt nach § 1751 Absatz 1 Satz 2, § 1786 oder § 1787 des Bürgerlichen Gesetzbuchs Vormund geworden, hat das Gericht ihm unverzüglich eine Bescheinigung über den Eintritt der Vormundschaft zu erteilen.</w:t>
      </w:r>
    </w:p>
    <w:p>
      <w:r>
        <w:t xml:space="preserve">(3) Nach Beendigung seines Amtes hat der Vormund die Bestellungsurkunde oder die Bescheinigung zurückzugeben.</w:t>
      </w:r>
    </w:p>
    <w:p>
      <w:r>
        <w:rPr>
          <w:color w:val="555555"/>
          <w:sz w:val="17"/>
        </w:rPr>
        <w:t xml:space="preserve">Zitiervorschlag: § 168b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