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168a FamFG — Inhalt der Beschlussformel und Wirksamwerden der Beschlüsse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Beschlussformel enthält im Fall der Bestellung eines Vormunds auch</w:t>
      </w:r>
    </w:p>
    <w:p>
      <w:pPr>
        <w:ind w:left="420"/>
      </w:pPr>
      <w:r>
        <w:t xml:space="preserve">1. bei Bestellung eines Berufsvormunds die Bezeichnung als Berufsvormund;</w:t>
      </w:r>
    </w:p>
    <w:p>
      <w:pPr>
        <w:ind w:left="420"/>
      </w:pPr>
      <w:r>
        <w:t xml:space="preserve">2. bei Bestellung eines Vereinsvormunds die Bezeichnung als Vereinsvormund und die des Vormundschaftsvereins;</w:t>
      </w:r>
    </w:p>
    <w:p>
      <w:pPr>
        <w:ind w:left="420"/>
      </w:pPr>
      <w:r>
        <w:t xml:space="preserve">3. bei Bestellung des Jugendamtes die Bezeichnung des zuständigen Amtes;</w:t>
      </w:r>
    </w:p>
    <w:p>
      <w:pPr>
        <w:ind w:left="420"/>
      </w:pPr>
      <w:r>
        <w:t xml:space="preserve">4. bei Bestellung eines Pflegers nach § 1776 oder § 1777 des Bürgerlichen Gesetzbuchs die Bezeichnung des Pflegers und die ihm übertragenen Angelegenheiten;</w:t>
      </w:r>
    </w:p>
    <w:p>
      <w:pPr>
        <w:ind w:left="420"/>
      </w:pPr>
      <w:r>
        <w:t xml:space="preserve">5. bei einer Bestellung nach § 1781 des Bürgerlichen Gesetzbuchs die Bezeichnung als vorläufiger Vormund.</w:t>
      </w:r>
    </w:p>
    <w:p>
      <w:r>
        <w:t xml:space="preserve">(2) Beschlüsse über Inhalt oder Bestand der Bestellung eines Vormunds werden mit Bekanntgabe an den Vormund wirksam. § 287 Absatz 2 gilt entsprechend.</w:t>
      </w:r>
    </w:p>
    <w:p>
      <w:r>
        <w:rPr>
          <w:color w:val="555555"/>
          <w:sz w:val="17"/>
        </w:rPr>
        <w:t xml:space="preserve">Zitiervorschlag: § 168a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