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168 FamFG — Auswahl des Vormunds</w:t>
      </w:r>
    </w:p>
    <w:p>
      <w:r>
        <w:rPr>
          <w:color w:val="555555"/>
          <w:sz w:val="18"/>
        </w:rPr>
        <w:t xml:space="preserve">Gesetz über das Verfahren in Familiensachen und in den Angelegenheiten der freiwilligen Gerichtsbarkeit</w:t>
      </w:r>
    </w:p>
    <w:p>
      <w:r>
        <w:rPr>
          <w:color w:val="555555"/>
          <w:sz w:val="18"/>
        </w:rPr>
        <w:t xml:space="preserve">Stand: 01.01.2023 (konsolidierte Textfassung, kein amtliches Inkrafttretensdatum)</w:t>
      </w:r>
    </w:p>
    <w:p>
      <w:r>
        <w:t xml:space="preserve">(1) Hat das Gericht einen Vormund zu bestellen, so soll es bei der Auswahl auch nahestehende Familienangehörige sowie Personen des Vertrauens des betroffenen Kindes anhören, wenn dies ohne erhebliche Verzögerungen möglich ist.</w:t>
      </w:r>
    </w:p>
    <w:p>
      <w:r>
        <w:t xml:space="preserve">(2) Vor der Bestellung einer Person als ehrenamtlicher Vormund oder als Berufsvormund, hat das Gericht eine Auskunft nach § 41 des Bundeszentralregistergesetzes einzuholen. Das Gericht überprüft in angemessenen Zeitabständen, spätestens alle zwei Jahre nach der Bestellung, durch Einholung einer Auskunft, ob die Eignung des Vormunds fortbesteht.</w:t>
      </w:r>
    </w:p>
    <w:p>
      <w:r>
        <w:t xml:space="preserve">(3) Für ein Mündel, der das 14. Lebensjahr vollendet hat und nicht geschäftsunfähig ist, gilt § 291 entsprechend.</w:t>
      </w:r>
    </w:p>
    <w:p>
      <w:r>
        <w:rPr>
          <w:color w:val="555555"/>
          <w:sz w:val="17"/>
        </w:rPr>
        <w:t xml:space="preserve">Zitiervorschlag: § 168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