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FamFG — Sachverständigengutachten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Verfahren nach § 151 Nummer 1 bis 3 ist das Gutachten durch einen geeigneten Sachverständigen zu erstatten, der mindestens über eine psychologische, psychotherapeutische, kinder- und jugendpsychiatrische, psychiatrische, ärztliche, pädagogische oder sozialpädagogische Berufsqualifikation verfügen soll. Verfügt der Sachverständige über eine pädagogische oder sozialpädagogische Berufsqualifikation, ist der Erwerb ausreichender diagnostischer und analytischer Kenntnisse durch eine anerkannte Zusatzqualifikation nachzuweisen.</w:t>
      </w:r>
    </w:p>
    <w:p>
      <w:r>
        <w:t xml:space="preserve">(2) Das Gericht kann in Verfahren, die die Person des Kindes betreffen, anordnen, dass der Sachverständige bei der Erstellung des Gutachtens auch auf die Herstellung des Einvernehmens zwischen den Beteiligten hinwirken soll.</w:t>
      </w:r>
    </w:p>
    <w:p>
      <w:r>
        <w:t xml:space="preserve">(3) (weggefallen)</w:t>
      </w:r>
    </w:p>
    <w:p>
      <w:r>
        <w:rPr>
          <w:color w:val="555555"/>
          <w:sz w:val="17"/>
        </w:rPr>
        <w:t xml:space="preserve">Zitiervorschlag: § 163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