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160 FamFG — Anhörung der Eltern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Verfahren, die die Person des Kindes betreffen, soll das Gericht die Eltern persönlich anhören. In Verfahren nach den §§ 1666 und 1666a des Bürgerlichen Gesetzbuchs sind die Eltern persönlich anzuhören.</w:t>
      </w:r>
    </w:p>
    <w:p>
      <w:r>
        <w:t xml:space="preserve">(2) In sonstigen Kindschaftssachen hat das Gericht die Eltern anzuhören. Dies gilt nicht für einen Elternteil, dem die elterliche Sorge nicht zusteht, sofern von der Anhörung eine Aufklärung nicht erwartet werden kann.</w:t>
      </w:r>
    </w:p>
    <w:p>
      <w:r>
        <w:t xml:space="preserve">(3) Von der Anhörung darf nur aus schwerwiegenden Gründen abgesehen werden.</w:t>
      </w:r>
    </w:p>
    <w:p>
      <w:r>
        <w:t xml:space="preserve">(4) Unterbleibt die Anhörung allein wegen Gefahr im Verzug, ist sie unverzüglich nachzuholen.</w:t>
      </w:r>
    </w:p>
    <w:p>
      <w:r>
        <w:rPr>
          <w:color w:val="555555"/>
          <w:sz w:val="17"/>
        </w:rPr>
        <w:t xml:space="preserve">Zitiervorschlag: § 160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https://recht.nulegal.eu/gesetze/FamFG/160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