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FamFG — Fristen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Lauf einer Frist beginnt, soweit nichts anderes bestimmt ist, mit der Bekanntgabe.</w:t>
      </w:r>
    </w:p>
    <w:p>
      <w:r>
        <w:t xml:space="preserve">(2) Für die Fristen gelten die §§ 222 und 224 Abs. 2 und 3 sowie § 225 der Zivilprozessordnung entsprechend.</w:t>
      </w:r>
    </w:p>
    <w:p>
      <w:r>
        <w:rPr>
          <w:color w:val="555555"/>
          <w:sz w:val="17"/>
        </w:rPr>
        <w:t xml:space="preserve">Zitiervorschlag: § 16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