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157 FamFG — Erörterung der Kindeswohlgefährdung; einstweilige Anordnung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In Verfahren nach den §§ 1666 und 1666a des Bürgerlichen Gesetzbuchs soll das Gericht mit den Eltern und in geeigneten Fällen auch mit dem Kind erörtern, wie einer möglichen Gefährdung des Kindeswohls, insbesondere durch öffentliche Hilfen, begegnet werden und welche Folgen die Nichtannahme notwendiger Hilfen haben kann.</w:t>
      </w:r>
    </w:p>
    <w:p>
      <w:r>
        <w:t xml:space="preserve">(2) Das Gericht hat das persönliche Erscheinen der Eltern zu dem Termin nach Absatz 1 anzuordnen. Das Gericht führt die Erörterung in Abwesenheit eines Elternteils durch, wenn dies zum Schutz eines Beteiligten oder aus anderen Gründen erforderlich ist.</w:t>
      </w:r>
    </w:p>
    <w:p>
      <w:r>
        <w:t xml:space="preserve">(3) In Verfahren nach den §§ 1666 und 1666a des Bürgerlichen Gesetzbuchs hat das Gericht unverzüglich den Erlass einer einstweiligen Anordnung zu prüfen.</w:t>
      </w:r>
    </w:p>
    <w:p>
      <w:r>
        <w:rPr>
          <w:color w:val="555555"/>
          <w:sz w:val="17"/>
        </w:rPr>
        <w:t xml:space="preserve">Zitiervorschlag: § 157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