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155 FamFG — Vorrang- und Beschleunigungsgebot</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Kindschaftssachen, die den Aufenthalt des Kindes, das Umgangsrecht oder die Herausgabe des Kindes betreffen, sowie Verfahren wegen Gefährdung des Kindeswohls sind vorrangig und beschleunigt durchzuführen.</w:t>
      </w:r>
    </w:p>
    <w:p>
      <w:r>
        <w:t xml:space="preserve">(2) Das Gericht erörtert in Verfahren nach Absatz 1 die Sache mit den Beteiligten in einem Termin. Der Termin soll spätestens einen Monat nach Beginn des Verfahrens stattfinden. Das Gericht hört in diesem Termin das Jugendamt an. Eine Verlegung des Termins ist nur aus zwingenden Gründen zulässig. Der Verlegungsgrund ist mit dem Verlegungsgesuch glaubhaft zu machen.</w:t>
      </w:r>
    </w:p>
    <w:p>
      <w:r>
        <w:t xml:space="preserve">(3) Das Gericht soll das persönliche Erscheinen der verfahrensfähigen Beteiligten zu dem Termin anordnen.</w:t>
      </w:r>
    </w:p>
    <w:p>
      <w:r>
        <w:t xml:space="preserve">(4) Hat das Gericht ein Verfahren nach Absatz 1 zur Durchführung einer Mediation oder eines anderen Verfahrens der außergerichtlichen Konfliktbeilegung ausgesetzt, nimmt es das Verfahren in der Regel nach drei Monaten wieder auf, wenn die Beteiligten keine einvernehmliche Regelung erzielen.</w:t>
      </w:r>
    </w:p>
    <w:p>
      <w:r>
        <w:rPr>
          <w:color w:val="555555"/>
          <w:sz w:val="17"/>
        </w:rPr>
        <w:t xml:space="preserve">Zitiervorschlag: § 155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https://recht.nulegal.eu/gesetze/FamFG/155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