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152 FamFG —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Während der Anhängigkeit einer Ehesache ist unter den deutschen Gerichten das Gericht, bei dem die Ehesache im ersten Rechtszug anhängig ist oder war, ausschließlich zuständig für Kindschaftssachen, sofern sie gemeinschaftliche Kinder der Ehegatten betreffen.</w:t>
      </w:r>
    </w:p>
    <w:p>
      <w:r>
        <w:t xml:space="preserve">(2) Ansonsten ist das Gericht zuständig, in dessen Bezirk das Kind seinen gewöhnlichen Aufenthalt hat.</w:t>
      </w:r>
    </w:p>
    <w:p>
      <w:r>
        <w:t xml:space="preserve">(3) Ist die Zuständigkeit eines deutschen Gerichts nach den Absätzen 1 und 2 nicht gegeben, ist das Gericht zuständig, in dessen Bezirk das Bedürfnis der Fürsorge bekannt wird.</w:t>
      </w:r>
    </w:p>
    <w:p>
      <w:r>
        <w:t xml:space="preserve">(4) Für die in den §§ 1693 und 1802 Absatz 2 Satz 3 in Verbindung mit § 1867 bezeichneten Maßnahmen ist auch das Gericht zuständig, in dessen Bezirk das Bedürfnis der Fürsorge bekannt wird. Es soll die angeordneten Maßnahmen dem Gericht mitteilen, bei dem eine Vormundschaft oder Pflegschaft anhängig ist.</w:t>
      </w:r>
    </w:p>
    <w:p>
      <w:r>
        <w:rPr>
          <w:color w:val="555555"/>
          <w:sz w:val="17"/>
        </w:rPr>
        <w:t xml:space="preserve">Zitiervorschlag: § 152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