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151 FamFG — Kindschaftssachen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Kindschaftssachen sind die dem Familiengericht zugewiesenen Verfahren, die</w:t>
      </w:r>
    </w:p>
    <w:p>
      <w:pPr>
        <w:ind w:left="420"/>
      </w:pPr>
      <w:r>
        <w:t xml:space="preserve">1. die elterliche Sorge,</w:t>
      </w:r>
    </w:p>
    <w:p>
      <w:pPr>
        <w:ind w:left="420"/>
      </w:pPr>
      <w:r>
        <w:t xml:space="preserve">2. das Umgangsrecht und das Recht auf Auskunft über die persönlichen Verhältnisse des Kindes,</w:t>
      </w:r>
    </w:p>
    <w:p>
      <w:pPr>
        <w:ind w:left="420"/>
      </w:pPr>
      <w:r>
        <w:t xml:space="preserve">3. die Kindesherausgabe,</w:t>
      </w:r>
    </w:p>
    <w:p>
      <w:pPr>
        <w:ind w:left="420"/>
      </w:pPr>
      <w:r>
        <w:t xml:space="preserve">4. die Vormundschaft,</w:t>
      </w:r>
    </w:p>
    <w:p>
      <w:pPr>
        <w:ind w:left="420"/>
      </w:pPr>
      <w:r>
        <w:t xml:space="preserve">5. die Pflegschaft oder die gerichtliche Bestellung eines sonstigen Vertreters für einen Minderjährigen oder für ein bereits gezeugtes Kind,</w:t>
      </w:r>
    </w:p>
    <w:p>
      <w:pPr>
        <w:ind w:left="420"/>
      </w:pPr>
      <w:r>
        <w:t xml:space="preserve">6. die Genehmigung von freiheitsentziehender Unterbringung und freiheitsentziehenden Maßnahmen nach § 1631b des Bürgerlichen Gesetzbuchs, auch in Verbindung mit § 1795 Absatz 1 Satz 3 und § 1813 Absatz 1 des Bürgerlichen Gesetzbuchs,</w:t>
      </w:r>
    </w:p>
    <w:p>
      <w:pPr>
        <w:ind w:left="420"/>
      </w:pPr>
      <w:r>
        <w:t xml:space="preserve">7. die Genehmigung oder Anordnung einer freiheitsentziehenden Unterbringung, freiheitsentziehenden Maßnahme oder ärztlichen Zwangsmaßnahme bei einem Minderjährigen nach den Landesgesetzen über die Unterbringung psychisch Kranker oder</w:t>
      </w:r>
    </w:p>
    <w:p>
      <w:pPr>
        <w:ind w:left="420"/>
      </w:pPr>
      <w:r>
        <w:t xml:space="preserve">8. die Aufgaben nach dem Jugendgerichtsgesetz</w:t>
      </w:r>
    </w:p>
    <w:p>
      <w:r>
        <w:t xml:space="preserve">betreffen.</w:t>
      </w:r>
    </w:p>
    <w:p>
      <w:r>
        <w:rPr>
          <w:color w:val="555555"/>
          <w:sz w:val="17"/>
        </w:rPr>
        <w:t xml:space="preserve">Zitiervorschlag: § 151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