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FamFG — Zurückverweisung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Wird eine Entscheidung aufgehoben, durch die der Scheidungsantrag abgewiesen wurde, soll das Rechtsmittelgericht die Sache an das Gericht zurückverweisen, das die Abweisung ausgesprochen hat, wenn dort eine Folgesache zur Entscheidung ansteht. Das Gericht hat die rechtliche Beurteilung, die der Aufhebung zugrunde gelegt wurde, auch seiner Entscheidung zugrunde zu legen.</w:t>
      </w:r>
    </w:p>
    <w:p>
      <w:r>
        <w:t xml:space="preserve">(2) Das Gericht, an das die Sache zurückverwiesen wurde, kann, wenn gegen die Aufhebungsentscheidung Rechtsbeschwerde eingelegt wird, auf Antrag anordnen, dass über die Folgesachen verhandelt wird.</w:t>
      </w:r>
    </w:p>
    <w:p>
      <w:r>
        <w:rPr>
          <w:color w:val="555555"/>
          <w:sz w:val="17"/>
        </w:rPr>
        <w:t xml:space="preserve">Zitiervorschlag: § 146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