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143 FamFG — Einspruch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im Fall des § 142 Abs. 1 Satz 2 gegen die Versäumnisentscheidung Einspruch und gegen den Beschluss im Übrigen ein Rechtsmittel eingelegt, ist zunächst über den Einspruch und die Versäumnisentscheidung zu verhandeln und zu entscheiden.</w:t>
      </w:r>
    </w:p>
    <w:p>
      <w:r>
        <w:rPr>
          <w:color w:val="555555"/>
          <w:sz w:val="17"/>
        </w:rPr>
        <w:t xml:space="preserve">Zitiervorschlag: § 143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