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142 FamFG — Einheitliche Endentscheidung; Abweisung des Scheidungsantrags</w:t>
      </w:r>
    </w:p>
    <w:p>
      <w:r>
        <w:rPr>
          <w:color w:val="555555"/>
          <w:sz w:val="18"/>
        </w:rPr>
        <w:t xml:space="preserve">Gesetz über das Verfahren in Familiensachen und in den Angelegenheiten der freiwilligen Gerichtsbarkeit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Im Fall der Scheidung ist über sämtliche im Verbund stehenden Familiensachen durch einheitlichen Beschluss zu entscheiden. Dies gilt auch, soweit eine Versäumnisentscheidung zu treffen ist.</w:t>
      </w:r>
    </w:p>
    <w:p>
      <w:r>
        <w:t xml:space="preserve">(2) Wird der Scheidungsantrag abgewiesen, werden die Folgesachen gegenstandslos. Dies gilt nicht für Folgesachen nach § 137 Abs. 3 sowie für Folgesachen, hinsichtlich derer ein Beteiligter vor der Entscheidung ausdrücklich erklärt hat, sie fortführen zu wollen. Diese werden als selbständige Familiensachen fortgeführt.</w:t>
      </w:r>
    </w:p>
    <w:p>
      <w:r>
        <w:t xml:space="preserve">(3) Enthält der Beschluss nach Absatz 1 eine Entscheidung über den Versorgungsausgleich, so kann insoweit bei der Verkündung auf die Beschlussformel Bezug genommen werden.</w:t>
      </w:r>
    </w:p>
    <w:p>
      <w:r>
        <w:rPr>
          <w:color w:val="555555"/>
          <w:sz w:val="17"/>
        </w:rPr>
        <w:t xml:space="preserve">Zitiervorschlag: § 142 FamFG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https://recht.nulegal.eu/gesetze/FamFG/142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