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140 FamFG — Abtrennung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in einer Unterhaltsfolgesache oder Güterrechtsfolgesache außer den Ehegatten eine weitere Person Beteiligter des Verfahrens, ist die Folgesache abzutrennen.</w:t>
      </w:r>
    </w:p>
    <w:p>
      <w:r>
        <w:t xml:space="preserve">(2) Das Gericht kann eine Folgesache vom Verbund abtrennen. Dies ist nur zulässig, wenn</w:t>
      </w:r>
    </w:p>
    <w:p>
      <w:pPr>
        <w:ind w:left="420"/>
      </w:pPr>
      <w:r>
        <w:t xml:space="preserve">1. in einer Versorgungsausgleichsfolgesache oder Güterrechtsfolgesache vor der Auflösung der Ehe eine Entscheidung nicht möglich ist,</w:t>
      </w:r>
    </w:p>
    <w:p>
      <w:pPr>
        <w:ind w:left="420"/>
      </w:pPr>
      <w:r>
        <w:t xml:space="preserve">2. in einer Versorgungsausgleichsfolgesache das Verfahren ausgesetzt ist, weil ein Rechtsstreit über den Bestand oder die Höhe eines Anrechts vor einem anderen Gericht anhängig ist,</w:t>
      </w:r>
    </w:p>
    <w:p>
      <w:pPr>
        <w:ind w:left="420"/>
      </w:pPr>
      <w:r>
        <w:t xml:space="preserve">3. in einer Kindschaftsfolgesache das Gericht dies aus Gründen des Kindeswohls für sachgerecht hält oder das Verfahren ausgesetzt ist,</w:t>
      </w:r>
    </w:p>
    <w:p>
      <w:pPr>
        <w:ind w:left="420"/>
      </w:pPr>
      <w:r>
        <w:t xml:space="preserve">4. seit der Rechtshängigkeit des Scheidungsantrags ein Zeitraum von drei Monaten verstrichen ist, beide Ehegatten die erforderlichen Mitwirkungshandlungen in der Versorgungsausgleichsfolgesache vorgenommen haben und beide übereinstimmend deren Abtrennung beantragen oder</w:t>
      </w:r>
    </w:p>
    <w:p>
      <w:pPr>
        <w:ind w:left="420"/>
      </w:pPr>
      <w:r>
        <w:t xml:space="preserve">5. sich der Scheidungsausspruch so außergewöhnlich verzögern würde, dass ein weiterer Aufschub unter Berücksichtigung der Bedeutung der Folgesache eine unzumutbare Härte darstellen würde, und ein Ehegatte die Abtrennung beantragt.</w:t>
      </w:r>
    </w:p>
    <w:p>
      <w:r>
        <w:t xml:space="preserve">(3) Im Fall des Absatzes 2 Nr. 3 kann das Gericht auf Antrag eines Ehegatten auch eine Unterhaltsfolgesache abtrennen, wenn dies wegen des Zusammenhangs mit der Kindschaftsfolgesache geboten erscheint.</w:t>
      </w:r>
    </w:p>
    <w:p>
      <w:r>
        <w:t xml:space="preserve">(4) In den Fällen des Absatzes 2 Nr. 4 und 5 bleibt der vor Ablauf des ersten Jahres seit Eintritt des Getrenntlebens liegende Zeitraum außer Betracht. Dies gilt nicht, sofern die Voraussetzungen des § 1565 Abs. 2 des Bürgerlichen Gesetzbuchs vorliegen.</w:t>
      </w:r>
    </w:p>
    <w:p>
      <w:r>
        <w:t xml:space="preserve">(5) Der Antrag auf Abtrennung kann zur Niederschrift der Geschäftstelle oder in der mündlichen Verhandlung zur Niederschrift des Gerichts gestellt werden.</w:t>
      </w:r>
    </w:p>
    <w:p>
      <w:r>
        <w:t xml:space="preserve">(6) Die Entscheidung erfolgt durch gesonderten Beschluss; sie ist nicht selbständig anfechtbar.</w:t>
      </w:r>
    </w:p>
    <w:p>
      <w:r>
        <w:rPr>
          <w:color w:val="555555"/>
          <w:sz w:val="17"/>
        </w:rPr>
        <w:t xml:space="preserve">Zitiervorschlag: § 140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