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FamFG — Einbeziehung weiterer Beteiligter und dritter Personen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Sind außer den Ehegatten weitere Beteiligte vorhanden, werden vorbereitende Schriftsätze, Ausfertigungen oder Abschriften diesen nur insoweit mitgeteilt oder zugestellt, als der Inhalt des Schriftstücks sie betrifft. Dasselbe gilt für die Zustellung von Entscheidungen an dritte Personen, die zur Einlegung von Rechtsmitteln berechtigt sind.</w:t>
      </w:r>
    </w:p>
    <w:p>
      <w:r>
        <w:t xml:space="preserve">(2) Die weiteren Beteiligten können von der Teilnahme an der mündlichen Verhandlung insoweit ausgeschlossen werden, als die Familiensache, an der sie beteiligt sind, nicht Gegenstand der Verhandlung ist.</w:t>
      </w:r>
    </w:p>
    <w:p>
      <w:r>
        <w:rPr>
          <w:color w:val="555555"/>
          <w:sz w:val="17"/>
        </w:rPr>
        <w:t xml:space="preserve">Zitiervorschlag: § 139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