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FamFG — Beiordnung eines Rechtsanwalts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Ist in einer Scheidungssache der Antragsgegner nicht anwaltlich vertreten, hat das Gericht ihm für die Scheidungssache und eine Kindschaftssache als Folgesache von Amts wegen zur Wahrnehmung seiner Rechte im ersten Rechtszug einen Rechtsanwalt beizuordnen, wenn diese Maßnahme nach der freien Überzeugung des Gerichts zum Schutz des Beteiligten unabweisbar erscheint; § 78c Abs. 1 und 3 der Zivilprozessordnung gilt entsprechend. Vor einer Beiordnung soll der Beteiligte persönlich angehört und dabei auch darauf hingewiesen werden, dass und unter welchen Voraussetzungen Familiensachen gleichzeitig mit der Scheidungssache verhandelt und entschieden werden können.</w:t>
      </w:r>
    </w:p>
    <w:p>
      <w:r>
        <w:t xml:space="preserve">(2) Der beigeordnete Rechtsanwalt hat die Stellung eines Beistands.</w:t>
      </w:r>
    </w:p>
    <w:p>
      <w:r>
        <w:rPr>
          <w:color w:val="555555"/>
          <w:sz w:val="17"/>
        </w:rPr>
        <w:t xml:space="preserve">Zitiervorschlag: § 138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