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134 FamFG — Zustimmung zur Scheidung und zur Rücknahme; Widerruf</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Die Zustimmung zur Scheidung und zur Rücknahme des Scheidungsantrags kann zur Niederschrift der Geschäftsstelle oder in der mündlichen Verhandlung zur Niederschrift des Gerichts erklärt werden.</w:t>
      </w:r>
    </w:p>
    <w:p>
      <w:r>
        <w:t xml:space="preserve">(2) Die Zustimmung zur Scheidung kann bis zum Schluss der mündlichen Verhandlung, auf die über die Scheidung der Ehe entschieden wird, widerrufen werden. Der Widerruf kann zur Niederschrift der Geschäftsstelle oder in der mündlichen Verhandlung zur Niederschrift des Gerichts erklärt werden.</w:t>
      </w:r>
    </w:p>
    <w:p>
      <w:r>
        <w:rPr>
          <w:color w:val="555555"/>
          <w:sz w:val="17"/>
        </w:rPr>
        <w:t xml:space="preserve">Zitiervorschlag: § 134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