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130 FamFG — Säumnis der Beteiligten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Versäumnisentscheidung gegen den Antragsteller ist dahin zu erlassen, dass der Antrag als zurückgenommen gilt.</w:t>
      </w:r>
    </w:p>
    <w:p>
      <w:r>
        <w:t xml:space="preserve">(2) Eine Versäumnisentscheidung gegen den Antragsgegner sowie eine Entscheidung nach Aktenlage ist unzulässig.</w:t>
      </w:r>
    </w:p>
    <w:p>
      <w:r>
        <w:rPr>
          <w:color w:val="555555"/>
          <w:sz w:val="17"/>
        </w:rPr>
        <w:t xml:space="preserve">Zitiervorschlag: § 130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