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127 FamFG — Eingeschränkte Amtsermittlung</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Das Gericht hat von Amts wegen die zur Feststellung der entscheidungserheblichen Tatsachen erforderlichen Ermittlungen durchzuführen.</w:t>
      </w:r>
    </w:p>
    <w:p>
      <w:r>
        <w:t xml:space="preserve">(2) In Verfahren auf Scheidung oder Aufhebung der Ehe dürfen von den Beteiligten nicht vorgebrachte Tatsachen nur berücksichtigt werden, wenn sie geeignet sind, der Aufrechterhaltung der Ehe zu dienen oder wenn der Antragsteller einer Berücksichtigung nicht widerspricht.</w:t>
      </w:r>
    </w:p>
    <w:p>
      <w:r>
        <w:t xml:space="preserve">(3) In Verfahren auf Scheidung kann das Gericht außergewöhnliche Umstände nach § 1568 des Bürgerlichen Gesetzbuchs nur berücksichtigen, wenn sie von dem Ehegatten, der die Scheidung ablehnt, vorgebracht worden sind.</w:t>
      </w:r>
    </w:p>
    <w:p>
      <w:r>
        <w:rPr>
          <w:color w:val="555555"/>
          <w:sz w:val="17"/>
        </w:rPr>
        <w:t xml:space="preserve">Zitiervorschlag: § 127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https://recht.nulegal.eu/gesetze/FamFG/127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