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126 FamFG — Mehrere Ehesachen; Ehesachen und andere Verfahren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Ehesachen, die dieselbe Ehe betreffen, können miteinander verbunden werden.</w:t>
      </w:r>
    </w:p>
    <w:p>
      <w:r>
        <w:t xml:space="preserve">(2) Eine Verbindung von Ehesachen mit anderen Verfahren ist unzulässig. § 137 bleibt unberührt.</w:t>
      </w:r>
    </w:p>
    <w:p>
      <w:r>
        <w:t xml:space="preserve">(3) Wird in demselben Verfahren Aufhebung und Scheidung beantragt und sind beide Anträge begründet, so ist nur die Aufhebung der Ehe auszusprechen.</w:t>
      </w:r>
    </w:p>
    <w:p>
      <w:r>
        <w:rPr>
          <w:color w:val="555555"/>
          <w:sz w:val="17"/>
        </w:rPr>
        <w:t xml:space="preserve">Zitiervorschlag: § 126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