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FamFG — Verfahrensfähigkeit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Ehesachen ist ein in der Geschäftsfähigkeit beschränkter Ehegatte verfahrensfähig.</w:t>
      </w:r>
    </w:p>
    <w:p>
      <w:r>
        <w:t xml:space="preserve">(2) Für einen geschäftsunfähigen Ehegatten wird das Verfahren durch den gesetzlichen Vertreter geführt. Der gesetzliche Vertreter bedarf für den Antrag auf Scheidung oder Aufhebung der Ehe der Genehmigung des Familien- oder Betreuungsgerichts.</w:t>
      </w:r>
    </w:p>
    <w:p>
      <w:r>
        <w:rPr>
          <w:color w:val="555555"/>
          <w:sz w:val="17"/>
        </w:rPr>
        <w:t xml:space="preserve">Zitiervorschlag: § 125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