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122 FamFG — Örtliche Zuständigkeit</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Ausschließlich zuständig ist in dieser Rangfolge:</w:t>
      </w:r>
    </w:p>
    <w:p>
      <w:pPr>
        <w:ind w:left="420"/>
      </w:pPr>
      <w:r>
        <w:t xml:space="preserve">1. das Gericht, in dessen Bezirk einer der Ehegatten mit allen gemeinschaftlichen minderjährigen Kindern seinen gewöhnlichen Aufenthalt hat;</w:t>
      </w:r>
    </w:p>
    <w:p>
      <w:pPr>
        <w:ind w:left="420"/>
      </w:pPr>
      <w:r>
        <w:t xml:space="preserve">2. das Gericht, in dessen Bezirk einer der Ehegatten mit einem Teil der gemeinschaftlichen minderjährigen Kinder seinen gewöhnlichen Aufenthalt hat, sofern bei dem anderen Ehegatten keine gemeinschaftlichen minderjährigen Kinder ihren gewöhnlichen Aufenthalt haben;</w:t>
      </w:r>
    </w:p>
    <w:p>
      <w:pPr>
        <w:ind w:left="420"/>
      </w:pPr>
      <w:r>
        <w:t xml:space="preserve">3. das Gericht, in dessen Bezirk die Ehegatten ihren gemeinsamen gewöhnlichen Aufenthalt zuletzt gehabt haben, wenn einer der Ehegatten bei Eintritt der Rechtshängigkeit im Bezirk dieses Gerichts seinen gewöhnlichen Aufenthalt hat;</w:t>
      </w:r>
    </w:p>
    <w:p>
      <w:pPr>
        <w:ind w:left="420"/>
      </w:pPr>
      <w:r>
        <w:t xml:space="preserve">4. das Gericht, in dessen Bezirk der Antragsgegner seinen gewöhnlichen Aufenthalt hat;</w:t>
      </w:r>
    </w:p>
    <w:p>
      <w:pPr>
        <w:ind w:left="420"/>
      </w:pPr>
      <w:r>
        <w:t xml:space="preserve">5. das Gericht, in dessen Bezirk der Antragsteller seinen gewöhnlichen Aufenthalt hat;</w:t>
      </w:r>
    </w:p>
    <w:p>
      <w:pPr>
        <w:ind w:left="420"/>
      </w:pPr>
      <w:r>
        <w:t xml:space="preserve">6. in den Fällen des § 98 Absatz 2 das Gericht, in dessen Bezirk der Ehegatte, der im Zeitpunkt der Eheschließung das 16., aber nicht das 18. Lebensjahr vollendet hatte, seinen Aufenthalt hat;</w:t>
      </w:r>
    </w:p>
    <w:p>
      <w:pPr>
        <w:ind w:left="420"/>
      </w:pPr>
      <w:r>
        <w:t xml:space="preserve">7. das Amtsgericht Schöneberg in Berlin.</w:t>
      </w:r>
    </w:p>
    <w:p>
      <w:r>
        <w:rPr>
          <w:color w:val="555555"/>
          <w:sz w:val="17"/>
        </w:rPr>
        <w:t xml:space="preserve">Zitiervorschlag: § 122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