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121 FamFG — Ehesachen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Ehesachen sind Verfahren</w:t>
      </w:r>
    </w:p>
    <w:p>
      <w:pPr>
        <w:ind w:left="420"/>
      </w:pPr>
      <w:r>
        <w:t xml:space="preserve">1. auf Scheidung der Ehe (Scheidungssachen),</w:t>
      </w:r>
    </w:p>
    <w:p>
      <w:pPr>
        <w:ind w:left="420"/>
      </w:pPr>
      <w:r>
        <w:t xml:space="preserve">2. auf Aufhebung der Ehe und</w:t>
      </w:r>
    </w:p>
    <w:p>
      <w:pPr>
        <w:ind w:left="420"/>
      </w:pPr>
      <w:r>
        <w:t xml:space="preserve">3. auf Feststellung des Bestehens oder Nichtbestehens einer Ehe zwischen den Beteiligten.</w:t>
      </w:r>
    </w:p>
    <w:p>
      <w:r>
        <w:rPr>
          <w:color w:val="555555"/>
          <w:sz w:val="17"/>
        </w:rPr>
        <w:t xml:space="preserve">Zitiervorschlag: § 121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