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FamFG — Vollstreckung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Vollstreckung in Ehesachen und Familienstreitsachen erfolgt entsprechend den Vorschriften der Zivilprozessordnung über die Zwangsvollstreckung.</w:t>
      </w:r>
    </w:p>
    <w:p>
      <w:r>
        <w:t xml:space="preserve">(2) Endentscheidungen sind mit Wirksamwerden vollstreckbar. Macht der Verpflichtete glaubhaft, dass die Vollstreckung ihm einen nicht zu ersetzenden Nachteil bringen würde, hat das Gericht auf seinen Antrag die Vollstreckung vor Eintritt der Rechtskraft in der Endentscheidung einzustellen oder zu beschränken. In den Fällen des § 707 Abs. 1 und des § 719 Abs. 1 der Zivilprozessordnung kann die Vollstreckung nur unter denselben Voraussetzungen eingestellt oder beschränkt werden.</w:t>
      </w:r>
    </w:p>
    <w:p>
      <w:r>
        <w:t xml:space="preserve">(3) Die Verpflichtung zur Eingehung der Ehe und zur Herstellung des ehelichen Lebens unterliegt nicht der Vollstreckung.</w:t>
      </w:r>
    </w:p>
    <w:p>
      <w:r>
        <w:rPr>
          <w:color w:val="555555"/>
          <w:sz w:val="17"/>
        </w:rPr>
        <w:t xml:space="preserve">Zitiervorschlag: § 120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