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119 FamFG — Einstweilige Anordnung und Arrest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Familienstreitsachen sind die Vorschriften dieses Gesetzes über die einstweilige Anordnung anzuwenden. In Familienstreitsachen nach § 112 Nr. 2 und 3 gilt § 945 der Zivilprozessordnung entsprechend.</w:t>
      </w:r>
    </w:p>
    <w:p>
      <w:r>
        <w:t xml:space="preserve">(2) Das Gericht kann in Familienstreitsachen den Arrest anordnen. Die §§ 916 bis 934 und die §§ 943 bis 945 der Zivilprozessordnung gelten entsprechend.</w:t>
      </w:r>
    </w:p>
    <w:p>
      <w:r>
        <w:rPr>
          <w:color w:val="555555"/>
          <w:sz w:val="17"/>
        </w:rPr>
        <w:t xml:space="preserve">Zitiervorschlag: § 119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